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r w:rsidR="00CE1819" w:rsidRPr="00954276" w14:paraId="1B11D6A8" w14:textId="77777777" w:rsidTr="00480BCA">
        <w:trPr>
          <w:trHeight w:val="1109"/>
        </w:trPr>
        <w:tc>
          <w:tcPr>
            <w:tcW w:w="9445" w:type="dxa"/>
            <w:gridSpan w:val="3"/>
            <w:tcBorders>
              <w:bottom w:val="single" w:sz="4" w:space="0" w:color="auto"/>
              <w:right w:val="single" w:sz="4" w:space="0" w:color="auto"/>
            </w:tcBorders>
            <w:vAlign w:val="center"/>
          </w:tcPr>
          <w:p w14:paraId="5C15A08D" w14:textId="77777777" w:rsidR="00CE1819" w:rsidRDefault="00CE1819" w:rsidP="00CE181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CE1819" w:rsidRPr="00911DA1" w:rsidRDefault="00CE1819" w:rsidP="00CE1819">
            <w:pPr>
              <w:tabs>
                <w:tab w:val="left" w:pos="3054"/>
              </w:tabs>
              <w:spacing w:after="0" w:line="240" w:lineRule="auto"/>
              <w:ind w:left="108"/>
              <w:rPr>
                <w:b/>
                <w:sz w:val="12"/>
                <w:szCs w:val="12"/>
              </w:rPr>
            </w:pPr>
          </w:p>
          <w:p w14:paraId="7BED315F" w14:textId="7B2C2682" w:rsidR="00CE1819" w:rsidRPr="00911DA1" w:rsidRDefault="00CE1819" w:rsidP="00CE1819">
            <w:pPr>
              <w:tabs>
                <w:tab w:val="left" w:pos="3054"/>
              </w:tabs>
              <w:spacing w:after="0"/>
              <w:ind w:left="108"/>
              <w:rPr>
                <w:sz w:val="12"/>
                <w:szCs w:val="12"/>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CE1819" w:rsidRPr="00954276" w:rsidRDefault="00CE1819" w:rsidP="00CE1819">
            <w:pPr>
              <w:spacing w:after="0" w:line="360" w:lineRule="auto"/>
              <w:rPr>
                <w:bCs/>
                <w:sz w:val="20"/>
                <w:szCs w:val="20"/>
              </w:rPr>
            </w:pPr>
            <w:r w:rsidRPr="00243CDC">
              <w:rPr>
                <w:i/>
                <w:iCs/>
                <w:sz w:val="18"/>
                <w:szCs w:val="18"/>
              </w:rPr>
              <w:t xml:space="preserve">*Please note that this is not an evaluation criteria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7DAA8DD"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426C885B"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6E990A33"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56D7FA4C"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 Collaborations and Coordination (Maximum ½ page)</w:t>
            </w:r>
            <w:bookmarkEnd w:id="4"/>
          </w:p>
          <w:p w14:paraId="4DD3A3C4" w14:textId="002939EC"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6EECB6AA"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52AFFEF"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w:t>
            </w:r>
            <w:r w:rsidR="005B10D2" w:rsidRPr="00954276">
              <w:rPr>
                <w:rFonts w:eastAsia="MS Gothic" w:cstheme="minorHAnsi"/>
                <w:b/>
                <w:bCs/>
                <w:sz w:val="20"/>
                <w:szCs w:val="20"/>
              </w:rPr>
              <w:t>. Sustainability</w:t>
            </w:r>
            <w:bookmarkEnd w:id="11"/>
          </w:p>
          <w:p w14:paraId="10B980F8" w14:textId="36FE85A4" w:rsidR="005B10D2" w:rsidRPr="00954276" w:rsidRDefault="005B10D2" w:rsidP="00BC77CE">
            <w:pPr>
              <w:tabs>
                <w:tab w:val="left" w:pos="360"/>
              </w:tabs>
              <w:spacing w:line="240" w:lineRule="auto"/>
              <w:outlineLvl w:val="0"/>
              <w:rPr>
                <w:rFonts w:eastAsia="MS Gothic" w:cstheme="minorHAnsi"/>
                <w:i/>
                <w:iCs/>
                <w:sz w:val="20"/>
                <w:szCs w:val="20"/>
              </w:rPr>
            </w:pPr>
            <w:bookmarkStart w:id="12" w:name="_Toc51682029"/>
            <w:r w:rsidRPr="00BC77CE">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BC77CE">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BC77CE">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A1FA4">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1C4508">
        <w:trPr>
          <w:trHeight w:val="1160"/>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5A1FA4">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742CF9"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lastRenderedPageBreak/>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99F" w14:textId="77777777" w:rsidR="008308DC" w:rsidRDefault="008308DC" w:rsidP="005B10D2">
      <w:pPr>
        <w:spacing w:after="0" w:line="240" w:lineRule="auto"/>
      </w:pPr>
      <w:r>
        <w:separator/>
      </w:r>
    </w:p>
  </w:endnote>
  <w:endnote w:type="continuationSeparator" w:id="0">
    <w:p w14:paraId="6378FFD6" w14:textId="77777777" w:rsidR="008308DC" w:rsidRDefault="008308DC"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705B" w14:textId="77777777" w:rsidR="008308DC" w:rsidRDefault="008308DC" w:rsidP="005B10D2">
      <w:pPr>
        <w:spacing w:after="0" w:line="240" w:lineRule="auto"/>
      </w:pPr>
      <w:r>
        <w:separator/>
      </w:r>
    </w:p>
  </w:footnote>
  <w:footnote w:type="continuationSeparator" w:id="0">
    <w:p w14:paraId="283D9B37" w14:textId="77777777" w:rsidR="008308DC" w:rsidRDefault="008308DC"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BC77CE">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1"/>
  </w:num>
  <w:num w:numId="2" w16cid:durableId="57601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0506C"/>
    <w:rsid w:val="00126F30"/>
    <w:rsid w:val="00166EEF"/>
    <w:rsid w:val="00194267"/>
    <w:rsid w:val="001C0DEC"/>
    <w:rsid w:val="001C4508"/>
    <w:rsid w:val="001C50F9"/>
    <w:rsid w:val="001D450D"/>
    <w:rsid w:val="00222178"/>
    <w:rsid w:val="00266EC6"/>
    <w:rsid w:val="00283084"/>
    <w:rsid w:val="00347424"/>
    <w:rsid w:val="00362540"/>
    <w:rsid w:val="004000FC"/>
    <w:rsid w:val="004243E2"/>
    <w:rsid w:val="00446DA6"/>
    <w:rsid w:val="00453D8F"/>
    <w:rsid w:val="00454719"/>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A4073"/>
    <w:rsid w:val="007B690B"/>
    <w:rsid w:val="007D425F"/>
    <w:rsid w:val="007E5F39"/>
    <w:rsid w:val="0081179E"/>
    <w:rsid w:val="008308DC"/>
    <w:rsid w:val="00860E86"/>
    <w:rsid w:val="00867632"/>
    <w:rsid w:val="00875C06"/>
    <w:rsid w:val="00887AF9"/>
    <w:rsid w:val="008C07BB"/>
    <w:rsid w:val="008F1A4F"/>
    <w:rsid w:val="00991EF2"/>
    <w:rsid w:val="009D15A6"/>
    <w:rsid w:val="009F2415"/>
    <w:rsid w:val="009F4C52"/>
    <w:rsid w:val="00A81A97"/>
    <w:rsid w:val="00B409B9"/>
    <w:rsid w:val="00B52736"/>
    <w:rsid w:val="00B904F2"/>
    <w:rsid w:val="00BC77CE"/>
    <w:rsid w:val="00C2663F"/>
    <w:rsid w:val="00C50075"/>
    <w:rsid w:val="00C82B52"/>
    <w:rsid w:val="00CD204D"/>
    <w:rsid w:val="00CD43C3"/>
    <w:rsid w:val="00CE1819"/>
    <w:rsid w:val="00D016C6"/>
    <w:rsid w:val="00D07634"/>
    <w:rsid w:val="00D5154E"/>
    <w:rsid w:val="00D8049D"/>
    <w:rsid w:val="00D8121A"/>
    <w:rsid w:val="00D81A82"/>
    <w:rsid w:val="00DC41AF"/>
    <w:rsid w:val="00E23AE9"/>
    <w:rsid w:val="00E374EE"/>
    <w:rsid w:val="00EA6E73"/>
    <w:rsid w:val="00EE4192"/>
    <w:rsid w:val="00F23917"/>
    <w:rsid w:val="00F52756"/>
    <w:rsid w:val="00F83A52"/>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67</cp:revision>
  <dcterms:created xsi:type="dcterms:W3CDTF">2020-11-10T17:03:00Z</dcterms:created>
  <dcterms:modified xsi:type="dcterms:W3CDTF">2022-11-18T13:14:00Z</dcterms:modified>
</cp:coreProperties>
</file>